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0CF" w:rsidRPr="002B30CF" w:rsidRDefault="002B30CF" w:rsidP="002B30CF">
      <w:pPr>
        <w:spacing w:after="630" w:line="240" w:lineRule="auto"/>
        <w:outlineLvl w:val="1"/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</w:pPr>
      <w:r w:rsidRPr="002B30CF"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  <w:t>Федеральные проекты, входящие в национальный проект:</w:t>
      </w:r>
    </w:p>
    <w:p w:rsidR="002B30CF" w:rsidRPr="002B30CF" w:rsidRDefault="002B30CF" w:rsidP="002B30CF">
      <w:pPr>
        <w:numPr>
          <w:ilvl w:val="0"/>
          <w:numId w:val="1"/>
        </w:numPr>
        <w:spacing w:after="795" w:line="240" w:lineRule="auto"/>
        <w:ind w:left="-2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b/>
          <w:bCs/>
          <w:color w:val="2865E9"/>
          <w:sz w:val="30"/>
          <w:szCs w:val="30"/>
          <w:lang w:eastAsia="ru-RU"/>
        </w:rPr>
        <w:t>›</w:t>
      </w:r>
      <w:hyperlink r:id="rId6" w:history="1">
        <w:r w:rsidRPr="002B30CF">
          <w:rPr>
            <w:rFonts w:ascii="Times New Roman" w:eastAsia="Times New Roman" w:hAnsi="Times New Roman" w:cs="Times New Roman"/>
            <w:b/>
            <w:bCs/>
            <w:color w:val="154EC9"/>
            <w:sz w:val="24"/>
            <w:szCs w:val="24"/>
            <w:u w:val="single"/>
            <w:lang w:eastAsia="ru-RU"/>
          </w:rPr>
          <w:t>Современная школа</w:t>
        </w:r>
      </w:hyperlink>
    </w:p>
    <w:p w:rsidR="002B30CF" w:rsidRPr="002B30CF" w:rsidRDefault="002B30CF" w:rsidP="002B30CF">
      <w:pPr>
        <w:numPr>
          <w:ilvl w:val="0"/>
          <w:numId w:val="1"/>
        </w:numPr>
        <w:spacing w:after="795" w:line="240" w:lineRule="auto"/>
        <w:ind w:left="-2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b/>
          <w:bCs/>
          <w:color w:val="2865E9"/>
          <w:sz w:val="30"/>
          <w:szCs w:val="30"/>
          <w:lang w:eastAsia="ru-RU"/>
        </w:rPr>
        <w:t>›</w:t>
      </w:r>
      <w:hyperlink r:id="rId7" w:history="1">
        <w:r w:rsidRPr="002B30CF">
          <w:rPr>
            <w:rFonts w:ascii="Times New Roman" w:eastAsia="Times New Roman" w:hAnsi="Times New Roman" w:cs="Times New Roman"/>
            <w:b/>
            <w:bCs/>
            <w:color w:val="154EC9"/>
            <w:sz w:val="24"/>
            <w:szCs w:val="24"/>
            <w:u w:val="single"/>
            <w:lang w:eastAsia="ru-RU"/>
          </w:rPr>
          <w:t>Успех каждого ребенка</w:t>
        </w:r>
      </w:hyperlink>
    </w:p>
    <w:p w:rsidR="002B30CF" w:rsidRPr="002B30CF" w:rsidRDefault="002B30CF" w:rsidP="002B30CF">
      <w:pPr>
        <w:numPr>
          <w:ilvl w:val="0"/>
          <w:numId w:val="1"/>
        </w:numPr>
        <w:spacing w:after="795" w:line="240" w:lineRule="auto"/>
        <w:ind w:left="-2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b/>
          <w:bCs/>
          <w:color w:val="2865E9"/>
          <w:sz w:val="30"/>
          <w:szCs w:val="30"/>
          <w:lang w:eastAsia="ru-RU"/>
        </w:rPr>
        <w:t>›</w:t>
      </w:r>
      <w:hyperlink r:id="rId8" w:history="1">
        <w:r w:rsidRPr="002B30CF">
          <w:rPr>
            <w:rFonts w:ascii="Times New Roman" w:eastAsia="Times New Roman" w:hAnsi="Times New Roman" w:cs="Times New Roman"/>
            <w:b/>
            <w:bCs/>
            <w:color w:val="154EC9"/>
            <w:sz w:val="24"/>
            <w:szCs w:val="24"/>
            <w:u w:val="single"/>
            <w:lang w:eastAsia="ru-RU"/>
          </w:rPr>
          <w:t>Поддержка семей, имеющих детей</w:t>
        </w:r>
      </w:hyperlink>
    </w:p>
    <w:p w:rsidR="002B30CF" w:rsidRPr="002B30CF" w:rsidRDefault="002B30CF" w:rsidP="002B30CF">
      <w:pPr>
        <w:numPr>
          <w:ilvl w:val="0"/>
          <w:numId w:val="1"/>
        </w:numPr>
        <w:spacing w:after="795" w:line="240" w:lineRule="auto"/>
        <w:ind w:left="-2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b/>
          <w:bCs/>
          <w:color w:val="2865E9"/>
          <w:sz w:val="30"/>
          <w:szCs w:val="30"/>
          <w:lang w:eastAsia="ru-RU"/>
        </w:rPr>
        <w:t>›</w:t>
      </w:r>
      <w:hyperlink r:id="rId9" w:history="1">
        <w:r w:rsidRPr="002B30CF">
          <w:rPr>
            <w:rFonts w:ascii="Times New Roman" w:eastAsia="Times New Roman" w:hAnsi="Times New Roman" w:cs="Times New Roman"/>
            <w:b/>
            <w:bCs/>
            <w:color w:val="154EC9"/>
            <w:sz w:val="24"/>
            <w:szCs w:val="24"/>
            <w:u w:val="single"/>
            <w:lang w:eastAsia="ru-RU"/>
          </w:rPr>
          <w:t>Цифровая образовательная среда</w:t>
        </w:r>
      </w:hyperlink>
    </w:p>
    <w:p w:rsidR="002B30CF" w:rsidRPr="002B30CF" w:rsidRDefault="002B30CF" w:rsidP="002B30CF">
      <w:pPr>
        <w:numPr>
          <w:ilvl w:val="0"/>
          <w:numId w:val="1"/>
        </w:numPr>
        <w:spacing w:after="795" w:line="240" w:lineRule="auto"/>
        <w:ind w:left="-2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b/>
          <w:bCs/>
          <w:color w:val="2865E9"/>
          <w:sz w:val="30"/>
          <w:szCs w:val="30"/>
          <w:lang w:eastAsia="ru-RU"/>
        </w:rPr>
        <w:t>›</w:t>
      </w:r>
      <w:hyperlink r:id="rId10" w:history="1">
        <w:r w:rsidRPr="002B30CF">
          <w:rPr>
            <w:rFonts w:ascii="Times New Roman" w:eastAsia="Times New Roman" w:hAnsi="Times New Roman" w:cs="Times New Roman"/>
            <w:b/>
            <w:bCs/>
            <w:color w:val="154EC9"/>
            <w:sz w:val="24"/>
            <w:szCs w:val="24"/>
            <w:u w:val="single"/>
            <w:lang w:eastAsia="ru-RU"/>
          </w:rPr>
          <w:t>Учитель будущего</w:t>
        </w:r>
      </w:hyperlink>
    </w:p>
    <w:p w:rsidR="002B30CF" w:rsidRPr="002B30CF" w:rsidRDefault="002B30CF" w:rsidP="002B30CF">
      <w:pPr>
        <w:numPr>
          <w:ilvl w:val="0"/>
          <w:numId w:val="1"/>
        </w:numPr>
        <w:spacing w:after="795" w:line="240" w:lineRule="auto"/>
        <w:ind w:left="-2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b/>
          <w:bCs/>
          <w:color w:val="2865E9"/>
          <w:sz w:val="30"/>
          <w:szCs w:val="30"/>
          <w:lang w:eastAsia="ru-RU"/>
        </w:rPr>
        <w:t>›</w:t>
      </w:r>
      <w:hyperlink r:id="rId11" w:history="1">
        <w:r w:rsidRPr="002B30CF">
          <w:rPr>
            <w:rFonts w:ascii="Times New Roman" w:eastAsia="Times New Roman" w:hAnsi="Times New Roman" w:cs="Times New Roman"/>
            <w:b/>
            <w:bCs/>
            <w:color w:val="154EC9"/>
            <w:sz w:val="24"/>
            <w:szCs w:val="24"/>
            <w:u w:val="single"/>
            <w:lang w:eastAsia="ru-RU"/>
          </w:rPr>
          <w:t>Молодые профессионалы</w:t>
        </w:r>
      </w:hyperlink>
    </w:p>
    <w:p w:rsidR="002B30CF" w:rsidRPr="002B30CF" w:rsidRDefault="002B30CF" w:rsidP="002B30CF">
      <w:pPr>
        <w:numPr>
          <w:ilvl w:val="0"/>
          <w:numId w:val="1"/>
        </w:numPr>
        <w:spacing w:after="795" w:line="240" w:lineRule="auto"/>
        <w:ind w:left="-2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b/>
          <w:bCs/>
          <w:color w:val="2865E9"/>
          <w:sz w:val="30"/>
          <w:szCs w:val="30"/>
          <w:lang w:eastAsia="ru-RU"/>
        </w:rPr>
        <w:t>›</w:t>
      </w:r>
      <w:hyperlink r:id="rId12" w:history="1">
        <w:r w:rsidRPr="002B30CF">
          <w:rPr>
            <w:rFonts w:ascii="Times New Roman" w:eastAsia="Times New Roman" w:hAnsi="Times New Roman" w:cs="Times New Roman"/>
            <w:b/>
            <w:bCs/>
            <w:color w:val="154EC9"/>
            <w:sz w:val="24"/>
            <w:szCs w:val="24"/>
            <w:u w:val="single"/>
            <w:lang w:eastAsia="ru-RU"/>
          </w:rPr>
          <w:t>Новые возможности для каждого</w:t>
        </w:r>
      </w:hyperlink>
    </w:p>
    <w:p w:rsidR="002B30CF" w:rsidRPr="002B30CF" w:rsidRDefault="002B30CF" w:rsidP="002B30CF">
      <w:pPr>
        <w:numPr>
          <w:ilvl w:val="0"/>
          <w:numId w:val="1"/>
        </w:numPr>
        <w:spacing w:after="795" w:line="240" w:lineRule="auto"/>
        <w:ind w:left="-2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b/>
          <w:bCs/>
          <w:color w:val="2865E9"/>
          <w:sz w:val="30"/>
          <w:szCs w:val="30"/>
          <w:lang w:eastAsia="ru-RU"/>
        </w:rPr>
        <w:t>›</w:t>
      </w:r>
      <w:hyperlink r:id="rId13" w:history="1">
        <w:r w:rsidRPr="002B30CF">
          <w:rPr>
            <w:rFonts w:ascii="Times New Roman" w:eastAsia="Times New Roman" w:hAnsi="Times New Roman" w:cs="Times New Roman"/>
            <w:b/>
            <w:bCs/>
            <w:color w:val="154EC9"/>
            <w:sz w:val="24"/>
            <w:szCs w:val="24"/>
            <w:u w:val="single"/>
            <w:lang w:eastAsia="ru-RU"/>
          </w:rPr>
          <w:t>Социальная активность</w:t>
        </w:r>
      </w:hyperlink>
    </w:p>
    <w:p w:rsidR="002B30CF" w:rsidRPr="002B30CF" w:rsidRDefault="002B30CF" w:rsidP="002B30CF">
      <w:pPr>
        <w:numPr>
          <w:ilvl w:val="0"/>
          <w:numId w:val="1"/>
        </w:numPr>
        <w:spacing w:after="795" w:line="240" w:lineRule="auto"/>
        <w:ind w:left="-2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b/>
          <w:bCs/>
          <w:color w:val="2865E9"/>
          <w:sz w:val="30"/>
          <w:szCs w:val="30"/>
          <w:lang w:eastAsia="ru-RU"/>
        </w:rPr>
        <w:t>›</w:t>
      </w:r>
      <w:hyperlink r:id="rId14" w:history="1">
        <w:r w:rsidRPr="002B30CF">
          <w:rPr>
            <w:rFonts w:ascii="Times New Roman" w:eastAsia="Times New Roman" w:hAnsi="Times New Roman" w:cs="Times New Roman"/>
            <w:b/>
            <w:bCs/>
            <w:color w:val="154EC9"/>
            <w:sz w:val="24"/>
            <w:szCs w:val="24"/>
            <w:u w:val="single"/>
            <w:lang w:eastAsia="ru-RU"/>
          </w:rPr>
          <w:t>Экспорт образования</w:t>
        </w:r>
      </w:hyperlink>
    </w:p>
    <w:p w:rsidR="002B30CF" w:rsidRPr="002B30CF" w:rsidRDefault="002B30CF" w:rsidP="002B30CF">
      <w:pPr>
        <w:numPr>
          <w:ilvl w:val="0"/>
          <w:numId w:val="1"/>
        </w:numPr>
        <w:spacing w:after="795" w:line="240" w:lineRule="auto"/>
        <w:ind w:left="-2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b/>
          <w:bCs/>
          <w:color w:val="2865E9"/>
          <w:sz w:val="30"/>
          <w:szCs w:val="30"/>
          <w:lang w:eastAsia="ru-RU"/>
        </w:rPr>
        <w:t>›</w:t>
      </w:r>
      <w:hyperlink r:id="rId15" w:history="1">
        <w:r w:rsidRPr="002B30CF">
          <w:rPr>
            <w:rFonts w:ascii="Times New Roman" w:eastAsia="Times New Roman" w:hAnsi="Times New Roman" w:cs="Times New Roman"/>
            <w:b/>
            <w:bCs/>
            <w:color w:val="154EC9"/>
            <w:sz w:val="24"/>
            <w:szCs w:val="24"/>
            <w:u w:val="single"/>
            <w:lang w:eastAsia="ru-RU"/>
          </w:rPr>
          <w:t>Социальные лифты для каждого</w:t>
        </w:r>
      </w:hyperlink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E304628" wp14:editId="7D0063BD">
                <wp:extent cx="304800" cy="304800"/>
                <wp:effectExtent l="0" t="0" r="0" b="0"/>
                <wp:docPr id="42" name="AutoShape 22" descr="diagra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" o:spid="_x0000_s1026" alt="diagra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ihJnUrwCAADJ&#10;BQAADgAAAAAAAAAAAAAAAAAuAgAAZHJzL2Uyb0RvYy54bWxQSwECLQAUAAYACAAAACEATKDpLNgA&#10;AAADAQAADwAAAAAAAAAAAAAAAAAW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2B30CF" w:rsidRPr="002B30CF" w:rsidRDefault="002B30CF" w:rsidP="002B30CF">
      <w:pPr>
        <w:spacing w:after="630" w:line="240" w:lineRule="auto"/>
        <w:outlineLvl w:val="1"/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</w:pPr>
      <w:r w:rsidRPr="002B30CF"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  <w:t>Источники: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723,3 </w:t>
      </w:r>
      <w:proofErr w:type="gram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gram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— федеральный бюджет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45,7 </w:t>
      </w:r>
      <w:proofErr w:type="gram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gram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— бюджеты субъектов РФ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15,4 </w:t>
      </w:r>
      <w:proofErr w:type="gram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gram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— внебюджетные источники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2B33F1" wp14:editId="757477F1">
            <wp:extent cx="1333500" cy="1333500"/>
            <wp:effectExtent l="0" t="0" r="0" b="0"/>
            <wp:docPr id="1" name="Рисунок 23" descr="photo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hoto-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caps/>
          <w:color w:val="212529"/>
          <w:sz w:val="21"/>
          <w:szCs w:val="21"/>
          <w:lang w:eastAsia="ru-RU"/>
        </w:rPr>
      </w:pPr>
      <w:r w:rsidRPr="002B30CF">
        <w:rPr>
          <w:rFonts w:ascii="Times New Roman" w:eastAsia="Times New Roman" w:hAnsi="Times New Roman" w:cs="Times New Roman"/>
          <w:caps/>
          <w:color w:val="212529"/>
          <w:sz w:val="21"/>
          <w:szCs w:val="21"/>
          <w:lang w:eastAsia="ru-RU"/>
        </w:rPr>
        <w:t>КУРАТОР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363E51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b/>
          <w:bCs/>
          <w:caps/>
          <w:color w:val="363E51"/>
          <w:sz w:val="24"/>
          <w:szCs w:val="24"/>
          <w:lang w:eastAsia="ru-RU"/>
        </w:rPr>
        <w:t>Т. А. ГОЛИКОВА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30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Заместитель</w:t>
      </w:r>
      <w:r w:rsidRPr="002B30C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Председателя Правительства Российской Федерации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A3EDA2" wp14:editId="4BE012BA">
            <wp:extent cx="1333500" cy="1333500"/>
            <wp:effectExtent l="0" t="0" r="0" b="0"/>
            <wp:docPr id="2" name="Рисунок 24" descr="photo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hoto-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caps/>
          <w:color w:val="212529"/>
          <w:sz w:val="21"/>
          <w:szCs w:val="21"/>
          <w:lang w:eastAsia="ru-RU"/>
        </w:rPr>
      </w:pPr>
      <w:r w:rsidRPr="002B30CF">
        <w:rPr>
          <w:rFonts w:ascii="Times New Roman" w:eastAsia="Times New Roman" w:hAnsi="Times New Roman" w:cs="Times New Roman"/>
          <w:caps/>
          <w:color w:val="212529"/>
          <w:sz w:val="21"/>
          <w:szCs w:val="21"/>
          <w:lang w:eastAsia="ru-RU"/>
        </w:rPr>
        <w:t>РУКОВОДИТЕЛЬ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363E51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b/>
          <w:bCs/>
          <w:caps/>
          <w:color w:val="363E51"/>
          <w:sz w:val="24"/>
          <w:szCs w:val="24"/>
          <w:lang w:eastAsia="ru-RU"/>
        </w:rPr>
        <w:t>О. Ю. ВАСИЛЬЕВА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870744" wp14:editId="4C2EBC48">
            <wp:extent cx="1333500" cy="1333500"/>
            <wp:effectExtent l="0" t="0" r="0" b="0"/>
            <wp:docPr id="3" name="Рисунок 25" descr="phot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hoto-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caps/>
          <w:color w:val="212529"/>
          <w:sz w:val="21"/>
          <w:szCs w:val="21"/>
          <w:lang w:eastAsia="ru-RU"/>
        </w:rPr>
      </w:pPr>
      <w:r w:rsidRPr="002B30CF">
        <w:rPr>
          <w:rFonts w:ascii="Times New Roman" w:eastAsia="Times New Roman" w:hAnsi="Times New Roman" w:cs="Times New Roman"/>
          <w:caps/>
          <w:color w:val="212529"/>
          <w:sz w:val="21"/>
          <w:szCs w:val="21"/>
          <w:lang w:eastAsia="ru-RU"/>
        </w:rPr>
        <w:t>АДМИНИСТРАТОР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363E51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b/>
          <w:bCs/>
          <w:caps/>
          <w:color w:val="363E51"/>
          <w:sz w:val="24"/>
          <w:szCs w:val="24"/>
          <w:lang w:eastAsia="ru-RU"/>
        </w:rPr>
        <w:t>М. Н. РАКОВА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30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Заместитель Министра просвещения Российской Федерации</w:t>
      </w:r>
    </w:p>
    <w:p w:rsidR="002B30CF" w:rsidRPr="002B30CF" w:rsidRDefault="002B30CF" w:rsidP="002B30CF">
      <w:pPr>
        <w:spacing w:after="630" w:line="240" w:lineRule="auto"/>
        <w:outlineLvl w:val="1"/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</w:pPr>
      <w:r w:rsidRPr="002B30CF"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  <w:t>1.1. Средневзвешенный результат Российской Федерации в группе международных исследований качества общего образования, средневзвешенное место Российской Федерации (не ниже)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BFFA2BF" wp14:editId="19136FED">
                <wp:extent cx="304800" cy="304800"/>
                <wp:effectExtent l="0" t="0" r="0" b="0"/>
                <wp:docPr id="37" name="AutoShape 26" descr="base-va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6" o:spid="_x0000_s1026" alt="base-valu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Geg53TA&#10;AgAAzA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011238B" wp14:editId="2C8D2965">
            <wp:extent cx="5991225" cy="3533775"/>
            <wp:effectExtent l="0" t="0" r="9525" b="9525"/>
            <wp:docPr id="4" name="Рисунок 27" descr="base-va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-valu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Федерации будет ликвидировано обучение в 3-ю смену к концу 2021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70%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обучающихся общеобразовательных организаций, осуществляющих образовательную деятельность по дополнительным общеобразовательным программам, будут вовлечены в различные формы сопровождения и наставничества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5-11 классов будут предоставлены возможности освоения основных общеобразовательных программ по индивидуальному учебному плану, в том числе в сетевой форме, с зачетом результатов освоения ими дополнительных общеобразовательных программ и программ профессионального обучения, к концу 2024 г.</w:t>
      </w:r>
    </w:p>
    <w:p w:rsidR="002B30CF" w:rsidRPr="002B30CF" w:rsidRDefault="002B30CF" w:rsidP="002B30CF">
      <w:pPr>
        <w:spacing w:after="100" w:afterAutospacing="1" w:line="240" w:lineRule="auto"/>
        <w:outlineLvl w:val="2"/>
        <w:rPr>
          <w:rFonts w:ascii="inherit" w:eastAsia="Times New Roman" w:hAnsi="inherit" w:cs="Times New Roman"/>
          <w:color w:val="363E51"/>
          <w:sz w:val="33"/>
          <w:szCs w:val="33"/>
          <w:lang w:eastAsia="ru-RU"/>
        </w:rPr>
      </w:pPr>
      <w:r w:rsidRPr="002B30CF">
        <w:rPr>
          <w:rFonts w:ascii="inherit" w:eastAsia="Times New Roman" w:hAnsi="inherit" w:cs="Times New Roman"/>
          <w:color w:val="363E51"/>
          <w:sz w:val="33"/>
          <w:szCs w:val="33"/>
          <w:lang w:eastAsia="ru-RU"/>
        </w:rPr>
        <w:t>Будет создана сеть центров цифрового образования детей "IT-куб"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B294F2F" wp14:editId="6ACF7FB6">
                <wp:extent cx="304800" cy="304800"/>
                <wp:effectExtent l="0" t="0" r="0" b="0"/>
                <wp:docPr id="34" name="AutoShape 28" descr="diagram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8" o:spid="_x0000_s1026" alt="diagramm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Alm/orvgIA&#10;AMsFAAAOAAAAAAAAAAAAAAAAAC4CAABkcnMvZTJvRG9jLnhtbFBLAQItABQABgAIAAAAIQBMoOks&#10;2AAAAAMBAAAPAAAAAAAAAAAAAAAAABgFAABkcnMvZG93bnJldi54bWxQSwUGAAAAAAQABADzAAAA&#10;HQYAAAAA&#10;" filled="f" stroked="f">
                <o:lock v:ext="edit" aspectratio="t"/>
                <w10:anchorlock/>
              </v:rect>
            </w:pict>
          </mc:Fallback>
        </mc:AlternateConten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24,5 тыс.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детей будет обучаться на вновь созданных местах в сельских школах и в школах, расположенных в поселках городского типа, к концу 2023 г. (тыс.)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F81B18D" wp14:editId="4D852871">
                <wp:extent cx="304800" cy="304800"/>
                <wp:effectExtent l="0" t="0" r="0" b="0"/>
                <wp:docPr id="32" name="AutoShape 29" descr="base-va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9" o:spid="_x0000_s1026" alt="base-valu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MvMwAIAAMw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KF8y8zA&#10;AgAAzA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25 школ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будет построено и введено в эксплуатацию с привлечением частных инвестиций к концу 2024 года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230 тыс.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новых мест в общеобразовательных организациях (продолжение реализации приоритетного проекта «Современная образовательная среда для школьников») будут созданы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В 70%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школ будет работать целевая модель вовлечения общественно-деловых объединений и участия представителей работодателей в принятии решений по вопросам 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управления общеобразовательными организациями, в </w:t>
      </w:r>
      <w:proofErr w:type="spell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обновлении образовательных программ,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На 100%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будет введена национальная система учительского роста педагогических работников к концу 2020 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70% учителей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возрасте до 35 лет будут вовлечены в различные формы поддержки и сопровождения в первые три года работы,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Не менее 10%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педагогических работников систем общего образования и дополнительного образования детей пройдут добровольную независимую оценку профессиональной квалификации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50%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педагогических работников системы общего, дополнительного образования детей и профессионального образования повысят уровень профессионального мастерства в форматах непрерывного образования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 </w:t>
      </w: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900 тыс. детей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получат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деятельности), с учетом реализации проекта «Билет в будущее»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5% обучающихся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программам основного и среднего общего образования пройдут обучение в созданных в каждом субъекте РФ региональных центрах выявления, поддержки и развития способностей и талантов у детей и молодежи, функционирующих с учетом опыта Образовательного фонда «Талант и успех»</w:t>
      </w:r>
      <w:proofErr w:type="gramEnd"/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В 85 субъектах РФ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будет проведена оценка качества общего образования на основе практики международных исследований качества подготовки обучающихся в общеобразовательных организациях РФ к концу 2024 г.</w:t>
      </w:r>
    </w:p>
    <w:p w:rsidR="002B30CF" w:rsidRPr="002B30CF" w:rsidRDefault="002B30CF" w:rsidP="002B30CF">
      <w:pPr>
        <w:spacing w:after="630" w:line="240" w:lineRule="auto"/>
        <w:outlineLvl w:val="1"/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</w:pPr>
      <w:r w:rsidRPr="002B30CF"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  <w:t>Модернизация профессионального образования, в том числе посредством внедрения адаптивных, практик</w:t>
      </w:r>
      <w:proofErr w:type="gramStart"/>
      <w:r w:rsidRPr="002B30CF"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  <w:t>о-</w:t>
      </w:r>
      <w:proofErr w:type="gramEnd"/>
      <w:r w:rsidRPr="002B30CF"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  <w:t xml:space="preserve"> ориентированных и гибких образовательных программ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A096713" wp14:editId="55C442E8">
            <wp:extent cx="5791200" cy="3352800"/>
            <wp:effectExtent l="0" t="0" r="0" b="0"/>
            <wp:docPr id="5" name="Рисунок 30" descr="base-va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-valu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чемпионат по профессиональному мастерству по стандартам </w:t>
      </w:r>
      <w:proofErr w:type="spell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Ворлдскиллс</w:t>
      </w:r>
      <w:proofErr w:type="spell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пройдет в г. Казани в августе 2019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обновлена инфраструктура Всероссийского учебно-тренировочного центра профессионального мастерства на базе ВДЦ «Смена» к концу сентября 2021 г.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F15A00A" wp14:editId="0BA97EDF">
                <wp:extent cx="304800" cy="304800"/>
                <wp:effectExtent l="0" t="0" r="0" b="0"/>
                <wp:docPr id="30" name="AutoShape 31" descr="moder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1" o:spid="_x0000_s1026" alt="moder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VjR6arwCAADI&#10;BQAADgAAAAAAAAAAAAAAAAAuAgAAZHJzL2Uyb0RvYy54bWxQSwECLQAUAAYACAAAACEATKDpLNgA&#10;AAADAQAADwAAAAAAAAAAAAAAAAAW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85 субъектов РФ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внедрят программы профессионального обучения по наиболее востребованным и перспективным профессиям на уровне, соответствующем стандартам </w:t>
      </w:r>
      <w:proofErr w:type="spell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Ворлдскиллс</w:t>
      </w:r>
      <w:proofErr w:type="spell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учетом продолжительности программ не более 6 месяцев, к концу 2023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35 тыс. преподавателей-мастеров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производственного обучения повысят квалификацию по программам, основанным на опыте Союза </w:t>
      </w:r>
      <w:proofErr w:type="spell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Ворлдскиллс</w:t>
      </w:r>
      <w:proofErr w:type="spell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Россия, не менее 10 тыс. из них — будут сертифицированы в качестве экспертов — к концу 2024 г.</w:t>
      </w:r>
    </w:p>
    <w:p w:rsidR="002B30CF" w:rsidRPr="002B30CF" w:rsidRDefault="002B30CF" w:rsidP="002B30CF">
      <w:pPr>
        <w:spacing w:after="630" w:line="240" w:lineRule="auto"/>
        <w:outlineLvl w:val="1"/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</w:pPr>
      <w:r w:rsidRPr="002B30CF"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  <w:t>1.2. Место Российской Федерации в мире по присутствию университетов в топ-500 глобальных рейтингов университетов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6305370" wp14:editId="46FDBE70">
                <wp:extent cx="304800" cy="304800"/>
                <wp:effectExtent l="0" t="0" r="0" b="0"/>
                <wp:docPr id="29" name="AutoShape 32" descr="base-va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2" o:spid="_x0000_s1026" alt="base-valu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DqFwAIAAMw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KpwOoXA&#10;AgAAzA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EE43B0E" wp14:editId="04BA453B">
            <wp:extent cx="6029325" cy="3495675"/>
            <wp:effectExtent l="0" t="0" r="9525" b="9525"/>
            <wp:docPr id="6" name="Рисунок 6" descr="base-va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-valu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30 университетов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(не менее 1 в каждом федеральном округе и не менее чем в 10 субъектах Российской Федерации) получат государственную поддержку на основании конкурсного отбора к концу 2020 г., будут сформированы (актуализированы) их программы развития («дорожные карты») с учетом национальных целей Российской Федерации до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80 вузов из 40 субъектов РФ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будут включены в перечень образовательных организаций высшего образования, обеспечивающий подготовку кадров для базовых отраслей экономики и социальной сферы, в том числе в целях предоставления государственной поддержки, к концу 2019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20% студентов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будут осваивать отдельные курсы, дисциплины (модули), в том числе в формате онлайн-курсов, с использованием ресурсов иных организаций, осуществляющих образовательную деятельность, в том числе университетов, обеспечивающих соответствие качества подготовки обучающихся мировому уровню, к концу 2024  г.</w:t>
      </w:r>
    </w:p>
    <w:p w:rsidR="002B30CF" w:rsidRPr="002B30CF" w:rsidRDefault="002B30CF" w:rsidP="002B30CF">
      <w:pPr>
        <w:spacing w:after="100" w:afterAutospacing="1" w:line="240" w:lineRule="auto"/>
        <w:outlineLvl w:val="4"/>
        <w:rPr>
          <w:rFonts w:ascii="inherit" w:eastAsia="Times New Roman" w:hAnsi="inherit" w:cs="Times New Roman"/>
          <w:b/>
          <w:bCs/>
          <w:color w:val="363E51"/>
          <w:sz w:val="33"/>
          <w:szCs w:val="33"/>
          <w:lang w:eastAsia="ru-RU"/>
        </w:rPr>
      </w:pPr>
      <w:r w:rsidRPr="002B30CF">
        <w:rPr>
          <w:rFonts w:ascii="inherit" w:eastAsia="Times New Roman" w:hAnsi="inherit" w:cs="Times New Roman"/>
          <w:b/>
          <w:bCs/>
          <w:color w:val="363E51"/>
          <w:sz w:val="33"/>
          <w:szCs w:val="33"/>
          <w:lang w:eastAsia="ru-RU"/>
        </w:rPr>
        <w:t>Обучение по программам непрерывного образования в образовательных организациях высшего образования, реализующих дополнительные образовательные программы и программы профессионального обучения пройдут (</w:t>
      </w:r>
      <w:proofErr w:type="gramStart"/>
      <w:r w:rsidRPr="002B30CF">
        <w:rPr>
          <w:rFonts w:ascii="inherit" w:eastAsia="Times New Roman" w:hAnsi="inherit" w:cs="Times New Roman"/>
          <w:b/>
          <w:bCs/>
          <w:color w:val="363E51"/>
          <w:sz w:val="33"/>
          <w:szCs w:val="33"/>
          <w:lang w:eastAsia="ru-RU"/>
        </w:rPr>
        <w:t>млн</w:t>
      </w:r>
      <w:proofErr w:type="gramEnd"/>
      <w:r w:rsidRPr="002B30CF">
        <w:rPr>
          <w:rFonts w:ascii="inherit" w:eastAsia="Times New Roman" w:hAnsi="inherit" w:cs="Times New Roman"/>
          <w:b/>
          <w:bCs/>
          <w:color w:val="363E51"/>
          <w:sz w:val="33"/>
          <w:szCs w:val="33"/>
          <w:lang w:eastAsia="ru-RU"/>
        </w:rPr>
        <w:t xml:space="preserve"> чел.)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9ACAD4F" wp14:editId="6081832B">
                <wp:extent cx="304800" cy="304800"/>
                <wp:effectExtent l="0" t="0" r="0" b="0"/>
                <wp:docPr id="28" name="AutoShape 34" descr="obuche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4" o:spid="_x0000_s1026" alt="obucheni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kq/vgIAAMs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DTkq/vgIA&#10;AMsFAAAOAAAAAAAAAAAAAAAAAC4CAABkcnMvZTJvRG9jLnhtbFBLAQItABQABgAIAAAAIQBMoOks&#10;2AAAAAMBAAAPAAAAAAAAAAAAAAAAABgFAABkcnMvZG93bnJldi54bWxQSwUGAAAAAAQABADzAAAA&#10;HQYAAAAA&#10;" filled="f" stroked="f">
                <o:lock v:ext="edit" aspectratio="t"/>
                <w10:anchorlock/>
              </v:rect>
            </w:pict>
          </mc:Fallback>
        </mc:AlternateContent>
      </w:r>
    </w:p>
    <w:p w:rsidR="002B30CF" w:rsidRPr="002B30CF" w:rsidRDefault="002B30CF" w:rsidP="002B30CF">
      <w:pPr>
        <w:spacing w:after="630" w:line="240" w:lineRule="auto"/>
        <w:outlineLvl w:val="1"/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</w:pPr>
      <w:r w:rsidRPr="002B30CF"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  <w:t>2.1. Доля детей в возрасте от 5 до 18 лет, охваченных дополнительным образованием</w:t>
      </w:r>
      <w:proofErr w:type="gramStart"/>
      <w:r w:rsidRPr="002B30CF"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  <w:t xml:space="preserve"> (%)</w:t>
      </w:r>
      <w:proofErr w:type="gramEnd"/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28901A10" wp14:editId="3B449C13">
                <wp:extent cx="304800" cy="304800"/>
                <wp:effectExtent l="0" t="0" r="0" b="0"/>
                <wp:docPr id="27" name="AutoShape 35" descr="base-va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5" o:spid="_x0000_s1026" alt="base-valu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E55VBDA&#10;AgAAzA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4E337C" wp14:editId="3419F177">
            <wp:extent cx="5991225" cy="3533775"/>
            <wp:effectExtent l="0" t="0" r="9525" b="9525"/>
            <wp:docPr id="7" name="Рисунок 7" descr="base-va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-valu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 xml:space="preserve">12 </w:t>
      </w:r>
      <w:proofErr w:type="gramStart"/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млн</w:t>
      </w:r>
      <w:proofErr w:type="gramEnd"/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 xml:space="preserve"> детей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примут участие в открытых онлайн-уроках, реализуемых с учетом опыта цикла открытых уроков «</w:t>
      </w:r>
      <w:proofErr w:type="spell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Проектория</w:t>
      </w:r>
      <w:proofErr w:type="spell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направленных на раннюю профориентацию,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900 тыс. детей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получат рекомендации по построению индивидуального учебного плана в соответствии с выбранными профессиональными компетенциями с учетом реализации проекта «Билет в будущее»,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Для 935 тыс. детей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менее чем в 7000 образовательных организаций, расположенных в сельской местности, будет обновлена материально-техническая база для занятий физической культурой и спортом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DAFE0AD" wp14:editId="1F4B324E">
                <wp:extent cx="304800" cy="304800"/>
                <wp:effectExtent l="0" t="0" r="0" b="0"/>
                <wp:docPr id="26" name="AutoShape 37" descr="childr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7" o:spid="_x0000_s1026" alt="childr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Qr+MqvgIA&#10;AMoFAAAOAAAAAAAAAAAAAAAAAC4CAABkcnMvZTJvRG9jLnhtbFBLAQItABQABgAIAAAAIQBMoOks&#10;2AAAAAMBAAAPAAAAAAAAAAAAAAAAABgFAABkcnMvZG93bnJldi54bWxQSwUGAAAAAAQABADzAAAA&#10;HQYAAAAA&#10;" filled="f" stroked="f">
                <o:lock v:ext="edit" aspectratio="t"/>
                <w10:anchorlock/>
              </v:rect>
            </w:pict>
          </mc:Fallback>
        </mc:AlternateConten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созданы</w:t>
      </w: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100 центров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реализующих дополнительные общеобразовательные программы в вузах *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B230C77" wp14:editId="1AA21AA8">
                <wp:extent cx="304800" cy="304800"/>
                <wp:effectExtent l="0" t="0" r="0" b="0"/>
                <wp:docPr id="25" name="AutoShape 38" descr="center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8" o:spid="_x0000_s1026" alt="center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qmPFlbwCAADJ&#10;BQAADgAAAAAAAAAAAAAAAAAuAgAAZHJzL2Uyb0RvYy54bWxQSwECLQAUAAYACAAAACEATKDpLNgA&#10;AAADAQAADwAAAAAAAAAAAAAAAAAW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В 85 субъектах РФ 245 детских технопарков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Кванториум</w:t>
      </w:r>
      <w:proofErr w:type="spell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340 мобильных технопарков для детей, проживающих в сельской местности и малых городах, будут построены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смогут посещать </w:t>
      </w: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 xml:space="preserve">2 </w:t>
      </w:r>
      <w:proofErr w:type="gramStart"/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млн</w:t>
      </w:r>
      <w:proofErr w:type="gramEnd"/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 xml:space="preserve"> детей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смогут изучать «Технологию» и другие предметные области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lastRenderedPageBreak/>
        <w:t>Не менее чем в 16 тыс. школ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не менее чем в 80 субъектах Российской Федерации, расположенных в сельской местности и малых городах, будет создана материально-техническая база для реализации основных и дополнительных общеобразовательных программ цифрового, </w:t>
      </w:r>
      <w:proofErr w:type="gram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естественно-научного</w:t>
      </w:r>
      <w:proofErr w:type="gram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технического и гуманитарного профилей с охватом не менее </w:t>
      </w: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800 тыс. детей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Ученикам 5-11 классов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будут предоставлены возможности освоения основных общеобразовательных программ по индивидуальному учебному плану, в том числе в сетевой форме, с зачетом результатов освоения ими дополнительных общеобразовательных программ и программ профессионального обучения,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70% детей с ограниченными возможностями здоровья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будут обучаться по дополнительным общеобразовательным программам, в том числе с использованием дистанционных технологий</w:t>
      </w:r>
      <w:proofErr w:type="gram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(%)</w:t>
      </w:r>
      <w:proofErr w:type="gramEnd"/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26223F6" wp14:editId="3A0A8090">
                <wp:extent cx="304800" cy="304800"/>
                <wp:effectExtent l="0" t="0" r="0" b="0"/>
                <wp:docPr id="24" name="AutoShape 39" descr="center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9" o:spid="_x0000_s1026" alt="center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yXrycbwCAADJ&#10;BQAADgAAAAAAAAAAAAAAAAAuAgAAZHJzL2Uyb0RvYy54bWxQSwECLQAUAAYACAAAACEATKDpLNgA&#10;AAADAQAADwAAAAAAAAAAAAAAAAAW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2B30CF" w:rsidRPr="002B30CF" w:rsidRDefault="002B30CF" w:rsidP="002B30CF">
      <w:pPr>
        <w:spacing w:after="630" w:line="240" w:lineRule="auto"/>
        <w:outlineLvl w:val="1"/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</w:pPr>
      <w:r w:rsidRPr="002B30CF"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  <w:t>2.2. Численность обучающихся, вовлеченных в деятельность общественных объединений на базе образовательных организаций общего образования, среднего и высшего профессионального образования (</w:t>
      </w:r>
      <w:proofErr w:type="gramStart"/>
      <w:r w:rsidRPr="002B30CF"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  <w:t>млн</w:t>
      </w:r>
      <w:proofErr w:type="gramEnd"/>
      <w:r w:rsidRPr="002B30CF"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  <w:t xml:space="preserve"> человек) *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8328C51" wp14:editId="663DB85F">
                <wp:extent cx="304800" cy="304800"/>
                <wp:effectExtent l="0" t="0" r="0" b="0"/>
                <wp:docPr id="23" name="AutoShape 40" descr="base-va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0" o:spid="_x0000_s1026" alt="base-valu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26hvwIAAMw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fEtuob8C&#10;AADM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C7C144" wp14:editId="424E10EA">
            <wp:extent cx="5991225" cy="3533775"/>
            <wp:effectExtent l="0" t="0" r="9525" b="9525"/>
            <wp:docPr id="8" name="Рисунок 8" descr="base-va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base-valu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lastRenderedPageBreak/>
        <w:t>В 85 субъектах РФ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будет создана и внедрена система социальной поддержки граждан, систематически участвующих в добровольческих (волонтерских) проектах:</w:t>
      </w:r>
    </w:p>
    <w:p w:rsidR="002B30CF" w:rsidRPr="002B30CF" w:rsidRDefault="002B30CF" w:rsidP="002B30CF">
      <w:pPr>
        <w:numPr>
          <w:ilvl w:val="0"/>
          <w:numId w:val="2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обеспечены</w:t>
      </w:r>
      <w:proofErr w:type="gram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персонализированный учет волонтеров, организаций, развивающих волонтерскую деятельность;</w:t>
      </w:r>
    </w:p>
    <w:p w:rsidR="002B30CF" w:rsidRPr="002B30CF" w:rsidRDefault="002B30CF" w:rsidP="002B30CF">
      <w:pPr>
        <w:numPr>
          <w:ilvl w:val="0"/>
          <w:numId w:val="2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повышен уровень мобильности в целях участия в волонтерских мероприятиях и обучающих стажировках, проводимых в субъектах Российской Федерации;</w:t>
      </w:r>
    </w:p>
    <w:p w:rsidR="002B30CF" w:rsidRPr="002B30CF" w:rsidRDefault="002B30CF" w:rsidP="002B30CF">
      <w:pPr>
        <w:numPr>
          <w:ilvl w:val="0"/>
          <w:numId w:val="2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будут учреждены награды и звания, стипендиальная поддержка (для </w:t>
      </w:r>
      <w:proofErr w:type="gram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B30CF" w:rsidRPr="002B30CF" w:rsidRDefault="002B30CF" w:rsidP="002B30CF">
      <w:pPr>
        <w:numPr>
          <w:ilvl w:val="0"/>
          <w:numId w:val="2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нематериальная поддержка граждан, участвующих в добровольческой деятельности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25 тыс. специалистов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работе в сфере добровольчества и технологий работы с волонтерами пройдут подготовку на базе центров поддержки добровольчества (</w:t>
      </w:r>
      <w:proofErr w:type="spell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волонтерства</w:t>
      </w:r>
      <w:proofErr w:type="spell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НКО, образовательных организаций и иных учреждений, осуществляющих деятельность в сфере добровольчества, к концу 2024 г.</w:t>
      </w:r>
    </w:p>
    <w:p w:rsidR="002B30CF" w:rsidRPr="002B30CF" w:rsidRDefault="002B30CF" w:rsidP="002B30CF">
      <w:pPr>
        <w:spacing w:after="100" w:afterAutospacing="1" w:line="240" w:lineRule="auto"/>
        <w:outlineLvl w:val="4"/>
        <w:rPr>
          <w:rFonts w:ascii="inherit" w:eastAsia="Times New Roman" w:hAnsi="inherit" w:cs="Times New Roman"/>
          <w:b/>
          <w:bCs/>
          <w:color w:val="363E51"/>
          <w:sz w:val="33"/>
          <w:szCs w:val="33"/>
          <w:lang w:eastAsia="ru-RU"/>
        </w:rPr>
      </w:pPr>
      <w:r w:rsidRPr="002B30CF">
        <w:rPr>
          <w:rFonts w:ascii="inherit" w:eastAsia="Times New Roman" w:hAnsi="inherit" w:cs="Times New Roman"/>
          <w:b/>
          <w:bCs/>
          <w:color w:val="363E51"/>
          <w:sz w:val="33"/>
          <w:szCs w:val="33"/>
          <w:lang w:eastAsia="ru-RU"/>
        </w:rPr>
        <w:t>До конца 2024 года будут проведены мероприятия по различным направлениям добровольчества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6AFF3F8" wp14:editId="572F73FE">
                <wp:extent cx="304800" cy="304800"/>
                <wp:effectExtent l="0" t="0" r="0" b="0"/>
                <wp:docPr id="22" name="AutoShape 42" descr="hig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2" o:spid="_x0000_s1026" alt="high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3uwkkrkCAADGBQAA&#10;DgAAAAAAAAAAAAAAAAAuAgAAZHJzL2Uyb0RvYy54bWxQSwECLQAUAAYACAAAACEATKDpLNgAAAAD&#10;AQAADwAAAAAAAAAAAAAAAAAT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1100 тыс. человек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будут использовать единую информационную систему в сфере развития добровольчества, для эффективного поиска информации, взаимодействия, коммуникации и обучения добровольцев, комплексного учета волонтерского опыта и компетенций, объединения запросов и предложений волонтерской помощи в одном месте, к концу 2024 г.</w:t>
      </w:r>
    </w:p>
    <w:p w:rsidR="002B30CF" w:rsidRPr="002B30CF" w:rsidRDefault="002B30CF" w:rsidP="002B30CF">
      <w:pPr>
        <w:spacing w:after="630" w:line="240" w:lineRule="auto"/>
        <w:outlineLvl w:val="1"/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</w:pPr>
      <w:r w:rsidRPr="002B30CF">
        <w:rPr>
          <w:rFonts w:ascii="inherit" w:eastAsia="Times New Roman" w:hAnsi="inherit" w:cs="Times New Roman"/>
          <w:b/>
          <w:bCs/>
          <w:color w:val="3C4355"/>
          <w:sz w:val="39"/>
          <w:szCs w:val="39"/>
          <w:lang w:eastAsia="ru-RU"/>
        </w:rPr>
        <w:t>Дополнительные результаты национального проекта</w:t>
      </w:r>
    </w:p>
    <w:p w:rsidR="002B30CF" w:rsidRPr="002B30CF" w:rsidRDefault="002B30CF" w:rsidP="002B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 xml:space="preserve">1,7 </w:t>
      </w:r>
      <w:proofErr w:type="gramStart"/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млн</w:t>
      </w:r>
      <w:proofErr w:type="gramEnd"/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 xml:space="preserve"> граждан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примут участие в 35 конкурсах профессионального и карьерного роста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внедрена система мониторинга трудоустройства выпускников вузов, учитывающая удовлетворенность работодателей качеством подготовки выпускников в разрезе указанных организаций и реализуемых ими образовательных программ, а также соответствие направлений подготовки региональным рынкам труда и отраслевой структуре экономики, с учетом сектора </w:t>
      </w:r>
      <w:proofErr w:type="spell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самозанятости</w:t>
      </w:r>
      <w:proofErr w:type="spellEnd"/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60 университетов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будут реализовывать не менее чем по </w:t>
      </w: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5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образовательных программ, прошедших международную аккредитацию,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lastRenderedPageBreak/>
        <w:t>В 2 раза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будет увеличено количество иностранных студентов, обучающихся в российских вузах (до 425 тыс. человек),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77,6 тыс. новых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мест появятся в студенческих городках для проживания иностранных и иногородних студентов и преподавателей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50 ресурсных центров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будут созданы для детей и педагогов с обучением на русском языке в странах-партнерах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18 тыс. иностранных граждан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пройдут обучение в летних и зимних школах, в </w:t>
      </w:r>
      <w:proofErr w:type="spell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базе летних оздоровительных лагерей,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будет проводиться национальный чемпионат «</w:t>
      </w:r>
      <w:proofErr w:type="spell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Абилимпикс</w:t>
      </w:r>
      <w:proofErr w:type="spell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организованы мероприятия по подготовке национальной сборной для участия в международных и национальных чемпионатах профессионального мастерства для людей с инвалидностью — к концу 2024 г.</w:t>
      </w:r>
    </w:p>
    <w:p w:rsidR="002B30CF" w:rsidRPr="002B30CF" w:rsidRDefault="002B30CF" w:rsidP="002B30C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0CF">
        <w:rPr>
          <w:rFonts w:ascii="Times New Roman" w:eastAsia="Times New Roman" w:hAnsi="Times New Roman" w:cs="Times New Roman"/>
          <w:sz w:val="45"/>
          <w:szCs w:val="45"/>
          <w:lang w:eastAsia="ru-RU"/>
        </w:rPr>
        <w:t>В 85 субъектах РФ</w:t>
      </w:r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родителям детей, получающих дошкольное образование в семье, а также гражданам, желающим принять на воспитание в свои семьи детей, оставшихся без попечения родителей, с привлечением НКО окажут 20 </w:t>
      </w:r>
      <w:proofErr w:type="gramStart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2B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психолого-педагогической, методической и консультативной помощи к концу 2024  г.</w:t>
      </w:r>
    </w:p>
    <w:p w:rsidR="007574CA" w:rsidRDefault="007574CA">
      <w:bookmarkStart w:id="0" w:name="_GoBack"/>
      <w:bookmarkEnd w:id="0"/>
    </w:p>
    <w:sectPr w:rsidR="00757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76B7"/>
    <w:multiLevelType w:val="multilevel"/>
    <w:tmpl w:val="2D3E13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F9400A"/>
    <w:multiLevelType w:val="multilevel"/>
    <w:tmpl w:val="EA02CC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CF8"/>
    <w:rsid w:val="002B30CF"/>
    <w:rsid w:val="007574CA"/>
    <w:rsid w:val="00D1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0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0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9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3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76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4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28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7001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33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7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15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592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0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690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596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65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97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146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480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8671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8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76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12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39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55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82051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2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0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1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8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1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4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6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5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8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6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39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8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5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1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907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6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16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national-project" TargetMode="External"/><Relationship Id="rId13" Type="http://schemas.openxmlformats.org/officeDocument/2006/relationships/hyperlink" Target="https://edu.gov.ru/national-project" TargetMode="External"/><Relationship Id="rId18" Type="http://schemas.openxmlformats.org/officeDocument/2006/relationships/image" Target="media/image3.jpeg"/><Relationship Id="rId3" Type="http://schemas.microsoft.com/office/2007/relationships/stylesWithEffects" Target="stylesWithEffects.xml"/><Relationship Id="rId21" Type="http://schemas.openxmlformats.org/officeDocument/2006/relationships/image" Target="media/image6.jpeg"/><Relationship Id="rId7" Type="http://schemas.openxmlformats.org/officeDocument/2006/relationships/hyperlink" Target="https://edu.gov.ru/national-project" TargetMode="External"/><Relationship Id="rId12" Type="http://schemas.openxmlformats.org/officeDocument/2006/relationships/hyperlink" Target="https://edu.gov.ru/national-project" TargetMode="External"/><Relationship Id="rId17" Type="http://schemas.openxmlformats.org/officeDocument/2006/relationships/image" Target="media/image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hyperlink" Target="https://edu.gov.ru/national-project" TargetMode="External"/><Relationship Id="rId11" Type="http://schemas.openxmlformats.org/officeDocument/2006/relationships/hyperlink" Target="https://edu.gov.ru/national-project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du.gov.ru/national-project" TargetMode="External"/><Relationship Id="rId23" Type="http://schemas.openxmlformats.org/officeDocument/2006/relationships/image" Target="media/image8.jpeg"/><Relationship Id="rId10" Type="http://schemas.openxmlformats.org/officeDocument/2006/relationships/hyperlink" Target="https://edu.gov.ru/national-project" TargetMode="Externa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edu.gov.ru/national-project" TargetMode="External"/><Relationship Id="rId14" Type="http://schemas.openxmlformats.org/officeDocument/2006/relationships/hyperlink" Target="https://edu.gov.ru/national-project" TargetMode="External"/><Relationship Id="rId22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1676</Words>
  <Characters>9554</Characters>
  <Application>Microsoft Office Word</Application>
  <DocSecurity>0</DocSecurity>
  <Lines>79</Lines>
  <Paragraphs>22</Paragraphs>
  <ScaleCrop>false</ScaleCrop>
  <Company/>
  <LinksUpToDate>false</LinksUpToDate>
  <CharactersWithSpaces>11208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2</cp:revision>
  <dcterms:created xsi:type="dcterms:W3CDTF">2020-02-06T13:28:00Z</dcterms:created>
  <dcterms:modified xsi:type="dcterms:W3CDTF">2020-02-06T13:29:00Z</dcterms:modified>
</cp:coreProperties>
</file>